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仿宋_GB2312" w:hAnsi="仿宋_GB2312" w:eastAsia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/>
          <w:b/>
          <w:bCs/>
          <w:sz w:val="44"/>
          <w:szCs w:val="44"/>
        </w:rPr>
        <w:t>物业招租明细表</w:t>
      </w:r>
    </w:p>
    <w:tbl>
      <w:tblPr>
        <w:tblStyle w:val="7"/>
        <w:tblW w:w="14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1314"/>
        <w:gridCol w:w="1701"/>
        <w:gridCol w:w="1036"/>
        <w:gridCol w:w="825"/>
        <w:gridCol w:w="1087"/>
        <w:gridCol w:w="993"/>
        <w:gridCol w:w="1275"/>
        <w:gridCol w:w="1276"/>
        <w:gridCol w:w="769"/>
        <w:gridCol w:w="1710"/>
        <w:gridCol w:w="129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38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序号</w:t>
            </w:r>
          </w:p>
        </w:tc>
        <w:tc>
          <w:tcPr>
            <w:tcW w:w="131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物业名称与座落位置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产权证号</w:t>
            </w:r>
          </w:p>
        </w:tc>
        <w:tc>
          <w:tcPr>
            <w:tcW w:w="103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出租</w:t>
            </w:r>
          </w:p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面积</w:t>
            </w:r>
          </w:p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（m²）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招租方式</w:t>
            </w:r>
          </w:p>
        </w:tc>
        <w:tc>
          <w:tcPr>
            <w:tcW w:w="2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租赁年限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招标底价（按首年月租金总价叫价，每次叫价100元的整数倍）</w:t>
            </w:r>
          </w:p>
        </w:tc>
        <w:tc>
          <w:tcPr>
            <w:tcW w:w="76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租金递增幅度</w:t>
            </w:r>
          </w:p>
        </w:tc>
        <w:tc>
          <w:tcPr>
            <w:tcW w:w="171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用途</w:t>
            </w:r>
          </w:p>
        </w:tc>
        <w:tc>
          <w:tcPr>
            <w:tcW w:w="129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投标保证金（元）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38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31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03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18"/>
              </w:rPr>
            </w:pPr>
            <w:r>
              <w:rPr>
                <w:rFonts w:hint="eastAsia" w:ascii="仿宋_GB2312" w:hAnsi="仿宋_GB2312" w:eastAsia="仿宋_GB2312"/>
                <w:sz w:val="18"/>
              </w:rPr>
              <w:t>起止时间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18"/>
              </w:rPr>
            </w:pPr>
            <w:r>
              <w:rPr>
                <w:rFonts w:hint="eastAsia" w:ascii="仿宋_GB2312" w:hAnsi="仿宋_GB2312" w:eastAsia="仿宋_GB2312"/>
                <w:sz w:val="18"/>
              </w:rPr>
              <w:t>租期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18"/>
              </w:rPr>
            </w:pPr>
            <w:r>
              <w:rPr>
                <w:rFonts w:hint="eastAsia" w:ascii="仿宋_GB2312" w:hAnsi="仿宋_GB2312" w:eastAsia="仿宋_GB2312"/>
                <w:sz w:val="18"/>
              </w:rPr>
              <w:t>首年租金单价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sz w:val="18"/>
              </w:rPr>
              <w:t>首年月租金</w:t>
            </w:r>
          </w:p>
        </w:tc>
        <w:tc>
          <w:tcPr>
            <w:tcW w:w="76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29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38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1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原鸡抱沙指挥所房屋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无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902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公开招租</w:t>
            </w:r>
          </w:p>
        </w:tc>
        <w:tc>
          <w:tcPr>
            <w:tcW w:w="108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物业交接起计算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12年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10元/月/平方米</w:t>
            </w:r>
          </w:p>
        </w:tc>
        <w:tc>
          <w:tcPr>
            <w:tcW w:w="1276" w:type="dxa"/>
            <w:vAlign w:val="center"/>
          </w:tcPr>
          <w:p>
            <w:pPr>
              <w:ind w:firstLine="210" w:firstLineChars="10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9020元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每年递增7%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文旅、餐饮</w:t>
            </w:r>
          </w:p>
        </w:tc>
        <w:tc>
          <w:tcPr>
            <w:tcW w:w="129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100000.00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房屋分别被鉴定为危险性C级和B级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38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原鸡抱沙指挥所前面农地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权属人为南沙开发区土地开发中心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3373</w:t>
            </w:r>
          </w:p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08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700/元/亩/年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295.14元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每</w:t>
            </w:r>
            <w:r>
              <w:rPr>
                <w:rFonts w:hint="eastAsia" w:ascii="仿宋_GB2312" w:hAnsi="仿宋_GB2312" w:eastAsia="仿宋_GB2312"/>
                <w:u w:val="single"/>
              </w:rPr>
              <w:t>两</w:t>
            </w:r>
            <w:r>
              <w:rPr>
                <w:rFonts w:hint="eastAsia" w:ascii="仿宋_GB2312" w:hAnsi="仿宋_GB2312" w:eastAsia="仿宋_GB2312"/>
              </w:rPr>
              <w:t>年递增7%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农业种植</w:t>
            </w:r>
          </w:p>
        </w:tc>
        <w:tc>
          <w:tcPr>
            <w:tcW w:w="129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</w:rPr>
            </w:pPr>
          </w:p>
        </w:tc>
      </w:tr>
    </w:tbl>
    <w:p>
      <w:pPr>
        <w:pStyle w:val="2"/>
        <w:spacing w:line="560" w:lineRule="exact"/>
        <w:ind w:firstLine="0"/>
        <w:rPr>
          <w:rFonts w:hint="eastAsia" w:ascii="方正仿宋_GBK" w:hAnsi="仿宋" w:eastAsia="方正仿宋_GBK" w:cs="仿宋"/>
          <w:sz w:val="32"/>
          <w:szCs w:val="32"/>
        </w:rPr>
      </w:pPr>
      <w:r>
        <w:rPr>
          <w:rFonts w:hint="eastAsia" w:ascii="方正仿宋_GBK" w:hAnsi="仿宋" w:eastAsia="方正仿宋_GBK" w:cs="仿宋"/>
          <w:sz w:val="32"/>
          <w:szCs w:val="32"/>
        </w:rPr>
        <w:t>注意：</w:t>
      </w:r>
    </w:p>
    <w:p>
      <w:pPr>
        <w:ind w:firstLine="640" w:firstLineChars="200"/>
        <w:rPr>
          <w:rFonts w:hint="eastAsia" w:ascii="宋体" w:hAnsi="宋体"/>
          <w:color w:val="FF0000"/>
          <w:sz w:val="28"/>
          <w:szCs w:val="28"/>
        </w:rPr>
      </w:pPr>
      <w:r>
        <w:rPr>
          <w:rFonts w:hint="eastAsia" w:ascii="方正仿宋_GBK" w:hAnsi="仿宋" w:eastAsia="方正仿宋_GBK" w:cs="仿宋"/>
          <w:sz w:val="32"/>
          <w:szCs w:val="32"/>
        </w:rPr>
        <w:t>房屋分别被鉴定为危险性C级和B级，且没有产权资料，为确保房屋使用安全以及后续合同顺利履行，投标人报名即同意如下事项：</w:t>
      </w:r>
      <w:r>
        <w:rPr>
          <w:rFonts w:hint="eastAsia" w:eastAsia="方正仿宋_GBK"/>
          <w:sz w:val="32"/>
          <w:szCs w:val="32"/>
        </w:rPr>
        <w:t>1、</w:t>
      </w:r>
      <w:r>
        <w:rPr>
          <w:rFonts w:hint="eastAsia" w:ascii="方正仿宋_GBK" w:hAnsi="仿宋" w:eastAsia="方正仿宋_GBK" w:cs="仿宋"/>
          <w:sz w:val="32"/>
          <w:szCs w:val="32"/>
        </w:rPr>
        <w:t>承租方必须对房屋进行加固除险，并承担全部费用；加固后，需由出租方委托的第三方房屋安全鉴定机构进行安全鉴定，鉴定结果达到安全等级后方可投入使用。</w:t>
      </w:r>
      <w:r>
        <w:rPr>
          <w:rFonts w:hint="eastAsia" w:eastAsia="方正仿宋_GBK"/>
          <w:sz w:val="32"/>
          <w:szCs w:val="32"/>
        </w:rPr>
        <w:t>2、</w:t>
      </w:r>
      <w:r>
        <w:rPr>
          <w:rFonts w:hint="eastAsia" w:ascii="方正仿宋_GBK" w:hAnsi="仿宋" w:eastAsia="方正仿宋_GBK" w:cs="仿宋"/>
          <w:sz w:val="32"/>
          <w:szCs w:val="32"/>
        </w:rPr>
        <w:t>承租方负责房屋使用及经营的所有设施、设备投入，办理相应的经营许可，并承担全部费用，包括但不限于消防、环保、水电等。</w:t>
      </w:r>
      <w:r>
        <w:rPr>
          <w:rFonts w:hint="eastAsia" w:eastAsia="方正仿宋_GBK"/>
          <w:sz w:val="32"/>
          <w:szCs w:val="32"/>
        </w:rPr>
        <w:t>3、</w:t>
      </w:r>
      <w:r>
        <w:rPr>
          <w:rFonts w:hint="eastAsia" w:ascii="方正仿宋_GBK" w:hAnsi="仿宋" w:eastAsia="方正仿宋_GBK" w:cs="仿宋"/>
          <w:sz w:val="32"/>
          <w:szCs w:val="32"/>
        </w:rPr>
        <w:t>承租方需按照龙穴街道“湿地唱晚赏红霞，绿美田园观白鹭”龙穴青蟹品鉴餐厅及民宿项目规划要求落实项目建设。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457" w:right="1440" w:bottom="1287" w:left="850" w:header="851" w:footer="992" w:gutter="0"/>
          <w:pgNumType w:fmt="decimal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08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